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Forum Młodych Badaczy Miast</w:t>
      </w:r>
      <w:r w:rsidR="00CF393B" w:rsidRPr="0095349D">
        <w:rPr>
          <w:rFonts w:ascii="Times New Roman" w:hAnsi="Times New Roman" w:cs="Times New Roman"/>
          <w:sz w:val="24"/>
          <w:szCs w:val="24"/>
        </w:rPr>
        <w:t xml:space="preserve"> przy Komisji Historii Miast PAN</w:t>
      </w:r>
    </w:p>
    <w:p w:rsidR="00CF393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 xml:space="preserve">Gdańsk 14 czerwca 2023 r., Uniwersytet Gdański  </w:t>
      </w:r>
    </w:p>
    <w:p w:rsidR="00CF393B" w:rsidRPr="0095349D" w:rsidRDefault="00CF393B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3B" w:rsidRPr="0095349D" w:rsidRDefault="00CF393B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Szanowni Państwo! Drodzy Koledzy i Koleżanki!</w:t>
      </w:r>
    </w:p>
    <w:p w:rsidR="00CF393B" w:rsidRPr="0095349D" w:rsidRDefault="00CF393B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 xml:space="preserve">W imieniu Przewodniczącej Komisji Historii Miast PAN dr hab. Urszuli Sowiny, prof. PAN, Przewodniczącego Gdańskiego Oddziału IH PAN prof. </w:t>
      </w:r>
      <w:r w:rsidR="00BF20D2" w:rsidRPr="0095349D">
        <w:rPr>
          <w:rFonts w:ascii="Times New Roman" w:hAnsi="Times New Roman" w:cs="Times New Roman"/>
          <w:sz w:val="24"/>
          <w:szCs w:val="24"/>
        </w:rPr>
        <w:t xml:space="preserve">dr hab. </w:t>
      </w:r>
      <w:r w:rsidRPr="0095349D">
        <w:rPr>
          <w:rFonts w:ascii="Times New Roman" w:hAnsi="Times New Roman" w:cs="Times New Roman"/>
          <w:sz w:val="24"/>
          <w:szCs w:val="24"/>
        </w:rPr>
        <w:t xml:space="preserve">Edmunda Kizika oraz </w:t>
      </w:r>
      <w:r w:rsidR="00AB49C2" w:rsidRPr="0095349D">
        <w:rPr>
          <w:rFonts w:ascii="Times New Roman" w:hAnsi="Times New Roman" w:cs="Times New Roman"/>
          <w:sz w:val="24"/>
          <w:szCs w:val="24"/>
        </w:rPr>
        <w:t>G</w:t>
      </w:r>
      <w:r w:rsidRPr="0095349D">
        <w:rPr>
          <w:rFonts w:ascii="Times New Roman" w:hAnsi="Times New Roman" w:cs="Times New Roman"/>
          <w:sz w:val="24"/>
          <w:szCs w:val="24"/>
        </w:rPr>
        <w:t xml:space="preserve">ospodarza </w:t>
      </w:r>
      <w:r w:rsidR="00AB49C2" w:rsidRPr="0095349D">
        <w:rPr>
          <w:rFonts w:ascii="Times New Roman" w:hAnsi="Times New Roman" w:cs="Times New Roman"/>
          <w:sz w:val="24"/>
          <w:szCs w:val="24"/>
        </w:rPr>
        <w:t>K</w:t>
      </w:r>
      <w:r w:rsidRPr="0095349D">
        <w:rPr>
          <w:rFonts w:ascii="Times New Roman" w:hAnsi="Times New Roman" w:cs="Times New Roman"/>
          <w:sz w:val="24"/>
          <w:szCs w:val="24"/>
        </w:rPr>
        <w:t xml:space="preserve">onferencji prof. dr hab. Wiesława Długokęckiego </w:t>
      </w:r>
      <w:r w:rsidR="00AB49C2" w:rsidRPr="0095349D">
        <w:rPr>
          <w:rFonts w:ascii="Times New Roman" w:hAnsi="Times New Roman" w:cs="Times New Roman"/>
          <w:sz w:val="24"/>
          <w:szCs w:val="24"/>
        </w:rPr>
        <w:t xml:space="preserve">(IH UG) </w:t>
      </w:r>
      <w:r w:rsidRPr="0095349D">
        <w:rPr>
          <w:rFonts w:ascii="Times New Roman" w:hAnsi="Times New Roman" w:cs="Times New Roman"/>
          <w:sz w:val="24"/>
          <w:szCs w:val="24"/>
        </w:rPr>
        <w:t>pragniemy Was serdecznie zaprosić na kolejną edycję Forum Młodych Badaczy Miast.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br/>
      </w:r>
    </w:p>
    <w:p w:rsidR="00CF393B" w:rsidRPr="0095349D" w:rsidRDefault="00CF393B" w:rsidP="009534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Temat wiodący Forum:</w:t>
      </w:r>
    </w:p>
    <w:p w:rsidR="00CD570B" w:rsidRDefault="00E45972" w:rsidP="009534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49D">
        <w:rPr>
          <w:rFonts w:ascii="Times New Roman" w:hAnsi="Times New Roman" w:cs="Times New Roman"/>
          <w:b/>
          <w:bCs/>
          <w:sz w:val="24"/>
          <w:szCs w:val="24"/>
        </w:rPr>
        <w:t>„Dobro wspólne” w miastach na przestrzeni dziejów</w:t>
      </w:r>
    </w:p>
    <w:p w:rsidR="0095349D" w:rsidRPr="0095349D" w:rsidRDefault="0095349D" w:rsidP="009534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0B" w:rsidRPr="0095349D" w:rsidRDefault="00D4189E" w:rsidP="00953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W ramach tegorocznego Forum Młodych Badaczy chcielibyśmy podjąć różnorodne zagadnienia związane z realizacją idei dobra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 xml:space="preserve">lnego w miastach w </w:t>
      </w:r>
      <w:r w:rsidR="00E45972" w:rsidRPr="0095349D">
        <w:rPr>
          <w:rFonts w:ascii="Times New Roman" w:hAnsi="Times New Roman" w:cs="Times New Roman"/>
          <w:sz w:val="24"/>
          <w:szCs w:val="24"/>
        </w:rPr>
        <w:t>epoce przedindustrialnej</w:t>
      </w:r>
      <w:r w:rsidRPr="0095349D">
        <w:rPr>
          <w:rFonts w:ascii="Times New Roman" w:hAnsi="Times New Roman" w:cs="Times New Roman"/>
          <w:sz w:val="24"/>
          <w:szCs w:val="24"/>
        </w:rPr>
        <w:t>. Chcielibyśmy wskazać korpus zagadnień obejmujących realizację i</w:t>
      </w:r>
      <w:r w:rsidRPr="0095349D">
        <w:rPr>
          <w:rFonts w:ascii="Times New Roman" w:hAnsi="Times New Roman" w:cs="Times New Roman"/>
          <w:sz w:val="24"/>
          <w:szCs w:val="24"/>
          <w:lang w:val="it-IT"/>
        </w:rPr>
        <w:t>dei dobra</w:t>
      </w:r>
      <w:r w:rsidRPr="0095349D">
        <w:rPr>
          <w:rFonts w:ascii="Times New Roman" w:hAnsi="Times New Roman" w:cs="Times New Roman"/>
          <w:sz w:val="24"/>
          <w:szCs w:val="24"/>
        </w:rPr>
        <w:t xml:space="preserve">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lnego, a także wyróżnić obszary charakterystyczne dla danego okresu. Interesują nas zar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 xml:space="preserve">wno zasięg, metody i narzędzia (prawne, </w:t>
      </w:r>
      <w:r w:rsidRPr="0095349D">
        <w:rPr>
          <w:rFonts w:ascii="Times New Roman" w:hAnsi="Times New Roman" w:cs="Times New Roman"/>
          <w:sz w:val="24"/>
          <w:szCs w:val="24"/>
        </w:rPr>
        <w:t>infrastrukturalne, personel), kt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rymi pr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bowano realizować tę ideę w przestrzeni miejskiej, w handlu, gospodarce, życiu społecznym itp., a także ewolucja samej idei na przestrzeni dziej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E45972" w:rsidRPr="0095349D" w:rsidRDefault="00D4189E" w:rsidP="00953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Pojęcie „dobra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lnego” (</w:t>
      </w:r>
      <w:r w:rsidRPr="0095349D">
        <w:rPr>
          <w:rFonts w:ascii="Times New Roman" w:hAnsi="Times New Roman" w:cs="Times New Roman"/>
          <w:i/>
          <w:iCs/>
          <w:sz w:val="24"/>
          <w:szCs w:val="24"/>
          <w:lang w:val="de-DE"/>
        </w:rPr>
        <w:t>utilitas publica, bonum commune, Gemein</w:t>
      </w:r>
      <w:r w:rsidRPr="0095349D">
        <w:rPr>
          <w:rFonts w:ascii="Times New Roman" w:hAnsi="Times New Roman" w:cs="Times New Roman"/>
          <w:i/>
          <w:iCs/>
          <w:sz w:val="24"/>
          <w:szCs w:val="24"/>
          <w:lang w:val="de-DE"/>
        </w:rPr>
        <w:t>er Nutz, Gemeinwohl</w:t>
      </w:r>
      <w:r w:rsidRPr="0095349D">
        <w:rPr>
          <w:rFonts w:ascii="Times New Roman" w:hAnsi="Times New Roman" w:cs="Times New Roman"/>
          <w:sz w:val="24"/>
          <w:szCs w:val="24"/>
        </w:rPr>
        <w:t>) nie ma jednej ustalonej definicji. W okresie średniowiecza pojęcie to było ideałem ziemskiej rzeczywistości, kt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ry przedstawiał politycznie zorganizowane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lnoty. Dobro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 funkcjonowało jako nadrzędny cel ładu ziemskiego reguluj</w:t>
      </w:r>
      <w:r w:rsidRPr="0095349D">
        <w:rPr>
          <w:rFonts w:ascii="Times New Roman" w:hAnsi="Times New Roman" w:cs="Times New Roman"/>
          <w:sz w:val="24"/>
          <w:szCs w:val="24"/>
        </w:rPr>
        <w:t>ącego wszelkie sfery życia ludzkiego w jego pragmatycznym wymiarze. Pan terytorialny i władze miast byli zobowiązani, w zakresie swoich politycznych działań, do realizacji idei dobra powszechnego/wsp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lnego „</w:t>
      </w:r>
      <w:r w:rsidRPr="0095349D">
        <w:rPr>
          <w:rFonts w:ascii="Times New Roman" w:hAnsi="Times New Roman" w:cs="Times New Roman"/>
          <w:sz w:val="24"/>
          <w:szCs w:val="24"/>
          <w:lang w:val="de-DE"/>
        </w:rPr>
        <w:t>Gemeiner Nutzen</w:t>
      </w:r>
      <w:r w:rsidRPr="0095349D">
        <w:rPr>
          <w:rFonts w:ascii="Times New Roman" w:hAnsi="Times New Roman" w:cs="Times New Roman"/>
          <w:sz w:val="24"/>
          <w:szCs w:val="24"/>
        </w:rPr>
        <w:t>” (</w:t>
      </w:r>
      <w:r w:rsidRPr="0095349D">
        <w:rPr>
          <w:rFonts w:ascii="Times New Roman" w:hAnsi="Times New Roman" w:cs="Times New Roman"/>
          <w:i/>
          <w:iCs/>
          <w:sz w:val="24"/>
          <w:szCs w:val="24"/>
          <w:lang w:val="pt-PT"/>
        </w:rPr>
        <w:t>bonum commune, utilitas publica</w:t>
      </w:r>
      <w:r w:rsidRPr="0095349D">
        <w:rPr>
          <w:rFonts w:ascii="Times New Roman" w:hAnsi="Times New Roman" w:cs="Times New Roman"/>
          <w:i/>
          <w:iCs/>
          <w:sz w:val="24"/>
          <w:szCs w:val="24"/>
          <w:lang w:val="pt-PT"/>
        </w:rPr>
        <w:t>)</w:t>
      </w:r>
      <w:r w:rsidRPr="0095349D">
        <w:rPr>
          <w:rFonts w:ascii="Times New Roman" w:hAnsi="Times New Roman" w:cs="Times New Roman"/>
          <w:sz w:val="24"/>
          <w:szCs w:val="24"/>
        </w:rPr>
        <w:t xml:space="preserve"> mieszkańc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 miasta. W powszechnym wyobrażeniu nt. władzy i obowiązk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 panującego w og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le, do dziś panuje przekonanie, że powinien on zabezpieczać podstawowe potrzeby swych poddanych. Rozumiane były one jako suma interes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 xml:space="preserve">w jednostek, ograniczonych jednak </w:t>
      </w:r>
      <w:r w:rsidRPr="0095349D">
        <w:rPr>
          <w:rFonts w:ascii="Times New Roman" w:hAnsi="Times New Roman" w:cs="Times New Roman"/>
          <w:sz w:val="24"/>
          <w:szCs w:val="24"/>
        </w:rPr>
        <w:t>autorytetem politycznym władcy/rządzących miastem, kt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rzy ucieleśniać mieli obowiązek i wolę działania na rzecz dobra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lnego. Źr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dłem tej nauki była filozofia św. Tomasza z Akwinu (1224/1225-1274), a pośrednio „odkrycie” i recepcja w II poł. XIII w. tek</w:t>
      </w:r>
      <w:r w:rsidRPr="0095349D">
        <w:rPr>
          <w:rFonts w:ascii="Times New Roman" w:hAnsi="Times New Roman" w:cs="Times New Roman"/>
          <w:sz w:val="24"/>
          <w:szCs w:val="24"/>
        </w:rPr>
        <w:t xml:space="preserve">stu „Etyki Nikomachejskiej” Arystotelesa i jego nauk o państwie. Stanowiła ona, że człowiek ma z </w:t>
      </w:r>
      <w:r w:rsidRPr="0095349D">
        <w:rPr>
          <w:rFonts w:ascii="Times New Roman" w:hAnsi="Times New Roman" w:cs="Times New Roman"/>
          <w:sz w:val="24"/>
          <w:szCs w:val="24"/>
        </w:rPr>
        <w:lastRenderedPageBreak/>
        <w:t>natury przyrodzoną potrzebę życia we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lnocie, kt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re są źr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dłem tworzenia przez niego wszelkich form politycznych i religijnych. Społeczna odpowiedzialność i</w:t>
      </w:r>
      <w:r w:rsidRPr="0095349D">
        <w:rPr>
          <w:rFonts w:ascii="Times New Roman" w:hAnsi="Times New Roman" w:cs="Times New Roman"/>
          <w:sz w:val="24"/>
          <w:szCs w:val="24"/>
        </w:rPr>
        <w:t xml:space="preserve"> troska o dobro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 jest podstawą każdej społeczności. Opierają się na sprawiedliwości i szczęściu każdego człowieka z osobna. Według św. Tomasza cel każdej politycznej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lnoty opiera się na samoorganizacji i zaspokojeniu potrzeb każdego człowieka – jego zabezpieczeniu materialnym, lecz także intelektualnym, moralnym i duchowym. W dalszej perspektywie chodzi o prowadzenie przez jednostki cnotliwego życia i poprzez to doprow</w:t>
      </w:r>
      <w:r w:rsidRPr="0095349D">
        <w:rPr>
          <w:rFonts w:ascii="Times New Roman" w:hAnsi="Times New Roman" w:cs="Times New Roman"/>
          <w:sz w:val="24"/>
          <w:szCs w:val="24"/>
        </w:rPr>
        <w:t xml:space="preserve">adzenie ich do </w:t>
      </w:r>
      <w:r w:rsidRPr="0095349D">
        <w:rPr>
          <w:rFonts w:ascii="Times New Roman" w:hAnsi="Times New Roman" w:cs="Times New Roman"/>
          <w:i/>
          <w:iCs/>
          <w:sz w:val="24"/>
          <w:szCs w:val="24"/>
          <w:lang w:val="it-IT"/>
        </w:rPr>
        <w:t>vita beata</w:t>
      </w:r>
      <w:r w:rsidRPr="0095349D">
        <w:rPr>
          <w:rFonts w:ascii="Times New Roman" w:hAnsi="Times New Roman" w:cs="Times New Roman"/>
          <w:sz w:val="24"/>
          <w:szCs w:val="24"/>
        </w:rPr>
        <w:t>. W nauce św. Tomasza odpowiedzialność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lnoty politycznej za duchową kondycję każdej jednostki ma w należyty spos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b przygotować każdego człowieka na nadejście Sądu Ostatecznego. Stąd zatem wypływał obowiązek moralny rządzących d</w:t>
      </w:r>
      <w:r w:rsidRPr="0095349D">
        <w:rPr>
          <w:rFonts w:ascii="Times New Roman" w:hAnsi="Times New Roman" w:cs="Times New Roman"/>
          <w:sz w:val="24"/>
          <w:szCs w:val="24"/>
        </w:rPr>
        <w:t>o troszczenia się takż</w:t>
      </w:r>
      <w:r w:rsidRPr="0095349D">
        <w:rPr>
          <w:rFonts w:ascii="Times New Roman" w:hAnsi="Times New Roman" w:cs="Times New Roman"/>
          <w:sz w:val="24"/>
          <w:szCs w:val="24"/>
          <w:lang w:val="pt-PT"/>
        </w:rPr>
        <w:t xml:space="preserve">e o </w:t>
      </w:r>
      <w:r w:rsidRPr="0095349D">
        <w:rPr>
          <w:rFonts w:ascii="Times New Roman" w:hAnsi="Times New Roman" w:cs="Times New Roman"/>
          <w:sz w:val="24"/>
          <w:szCs w:val="24"/>
        </w:rPr>
        <w:t>„prawe” i moralne życie swych poddanych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D570B" w:rsidRPr="0095349D" w:rsidRDefault="00D4189E" w:rsidP="00953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349D">
        <w:rPr>
          <w:rFonts w:ascii="Times New Roman" w:hAnsi="Times New Roman" w:cs="Times New Roman"/>
          <w:color w:val="auto"/>
          <w:sz w:val="24"/>
          <w:szCs w:val="24"/>
        </w:rPr>
        <w:t>W okresie nowożytnym, w czasie reformy kościoła, ucieleśnieniem tej idei były hasła głoszone przez licznie działających wówczas reformatorów, którzy jak choćby Tomasz Münzer, głosili wspól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notę dóbr. Idee wdrożoną zresztą później w życie przez Jana z Lejdy w jego „Królestwie Syjonu”. Na znaczeniu zyskała również – będąca dobrem wspólnym mieszkańców miast – informacja, która przedostawała się do obiegu publicznego, już nie tylko za pośrednict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wem kościelnych ambon, czy listów, ale także w formie kalendarzy oraz rękopiśmiennych i drukowanych gazet. W XVIII wieku na łamach tych ostatnich zamieszczano liczne dane statystyczne, które wskazywały zarówno poszczególnym państwom, jak i miastom kierunek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 xml:space="preserve"> zmian, które należałoby wdrożyć w celu poprawy sytuacji życiowej ich obywateli. Statystyka będąca swoistymi „okularami państwa” (</w:t>
      </w:r>
      <w:r w:rsidRPr="0095349D">
        <w:rPr>
          <w:rFonts w:ascii="Times New Roman" w:hAnsi="Times New Roman" w:cs="Times New Roman"/>
          <w:i/>
          <w:iCs/>
          <w:color w:val="auto"/>
          <w:sz w:val="24"/>
          <w:szCs w:val="24"/>
        </w:rPr>
        <w:t>Staatsbrille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), a per analogiam  również „okularami miasta” (</w:t>
      </w:r>
      <w:r w:rsidRPr="0095349D">
        <w:rPr>
          <w:rFonts w:ascii="Times New Roman" w:hAnsi="Times New Roman" w:cs="Times New Roman"/>
          <w:i/>
          <w:iCs/>
          <w:color w:val="auto"/>
          <w:sz w:val="24"/>
          <w:szCs w:val="24"/>
        </w:rPr>
        <w:t>Stadtbrille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) odegra w okresie późniejszym kapitalną rolę, przyczyn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 xml:space="preserve">iając się do znacznej poprawy funkcjonowania miast, a tym samym do zachowania i przedłużania największego dobra ich obywateli, tj. życia. </w:t>
      </w:r>
    </w:p>
    <w:p w:rsidR="00CD570B" w:rsidRPr="0095349D" w:rsidRDefault="00D4189E" w:rsidP="009534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Władze miast odwoływały się do idei dobra wsp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lnego w zapisach wilkierzy miejskich, statut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 cechowych i brackich, kt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 xml:space="preserve">re 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miały być narzędziem porządkującym życie wewnętrzne miasta w prawie każdym obszarze życia. Podobną rolę spełniały wydawane w odniesieniu do miast ustawy antyzbytkowe (</w:t>
      </w:r>
      <w:r w:rsidRPr="0095349D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lex sumptuaria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). Odwołania do idei dobra wsp</w:t>
      </w:r>
      <w:r w:rsidRPr="0095349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lnego odnaleźć można nie tylko w piśmien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 xml:space="preserve">nictwie prawnym, lecz także na kartach kronik, kazań, poezji czy alegorii przedstawień ikonograficznych. </w:t>
      </w:r>
    </w:p>
    <w:p w:rsidR="0095349D" w:rsidRPr="0095349D" w:rsidRDefault="0095349D" w:rsidP="0095349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color w:val="auto"/>
          <w:sz w:val="24"/>
          <w:szCs w:val="24"/>
        </w:rPr>
        <w:t>Do podstawowych obszar</w:t>
      </w:r>
      <w:r w:rsidRPr="0095349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w realizacji dobra wsp</w:t>
      </w:r>
      <w:r w:rsidRPr="0095349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color w:val="auto"/>
          <w:sz w:val="24"/>
          <w:szCs w:val="24"/>
        </w:rPr>
        <w:t>lnego zalicza się najczęściej</w:t>
      </w:r>
      <w:r w:rsidRPr="0095349D">
        <w:rPr>
          <w:rFonts w:ascii="Times New Roman" w:hAnsi="Times New Roman" w:cs="Times New Roman"/>
          <w:color w:val="auto"/>
          <w:sz w:val="24"/>
          <w:szCs w:val="24"/>
          <w:u w:color="FF2600"/>
        </w:rPr>
        <w:t>, kwestie/sprawy</w:t>
      </w:r>
      <w:r w:rsidRPr="0095349D">
        <w:rPr>
          <w:rFonts w:ascii="Times New Roman" w:hAnsi="Times New Roman" w:cs="Times New Roman"/>
          <w:sz w:val="24"/>
          <w:szCs w:val="24"/>
        </w:rPr>
        <w:t>: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- wyżywienia (np. kwestia sprawiedliwej ceny</w:t>
      </w:r>
      <w:r w:rsidR="00CB7D9A" w:rsidRPr="0095349D">
        <w:rPr>
          <w:rFonts w:ascii="Times New Roman" w:hAnsi="Times New Roman" w:cs="Times New Roman"/>
          <w:sz w:val="24"/>
          <w:szCs w:val="24"/>
        </w:rPr>
        <w:t xml:space="preserve">, </w:t>
      </w:r>
      <w:r w:rsidRPr="0095349D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95349D">
        <w:rPr>
          <w:rFonts w:ascii="Times New Roman" w:hAnsi="Times New Roman" w:cs="Times New Roman"/>
          <w:sz w:val="24"/>
          <w:szCs w:val="24"/>
        </w:rPr>
        <w:t>towar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</w:t>
      </w:r>
      <w:r w:rsidR="00CB7D9A" w:rsidRPr="0095349D">
        <w:rPr>
          <w:rFonts w:ascii="Times New Roman" w:hAnsi="Times New Roman" w:cs="Times New Roman"/>
          <w:sz w:val="24"/>
          <w:szCs w:val="24"/>
        </w:rPr>
        <w:t>, czystości wody</w:t>
      </w:r>
      <w:r w:rsidR="00BF20D2" w:rsidRPr="0095349D">
        <w:rPr>
          <w:rFonts w:ascii="Times New Roman" w:hAnsi="Times New Roman" w:cs="Times New Roman"/>
          <w:sz w:val="24"/>
          <w:szCs w:val="24"/>
        </w:rPr>
        <w:t xml:space="preserve"> pitnej</w:t>
      </w:r>
      <w:r w:rsidRPr="0095349D">
        <w:rPr>
          <w:rFonts w:ascii="Times New Roman" w:hAnsi="Times New Roman" w:cs="Times New Roman"/>
          <w:sz w:val="24"/>
          <w:szCs w:val="24"/>
        </w:rPr>
        <w:t>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lastRenderedPageBreak/>
        <w:t>- zdrowia (np. dostępu do wod</w:t>
      </w:r>
      <w:r w:rsidR="00E45972" w:rsidRPr="0095349D">
        <w:rPr>
          <w:rFonts w:ascii="Times New Roman" w:hAnsi="Times New Roman" w:cs="Times New Roman"/>
          <w:sz w:val="24"/>
          <w:szCs w:val="24"/>
        </w:rPr>
        <w:t>y</w:t>
      </w:r>
      <w:r w:rsidRPr="0095349D">
        <w:rPr>
          <w:rFonts w:ascii="Times New Roman" w:hAnsi="Times New Roman" w:cs="Times New Roman"/>
          <w:sz w:val="24"/>
          <w:szCs w:val="24"/>
        </w:rPr>
        <w:t xml:space="preserve">, </w:t>
      </w:r>
      <w:r w:rsidR="00CB7D9A" w:rsidRPr="0095349D">
        <w:rPr>
          <w:rFonts w:ascii="Times New Roman" w:hAnsi="Times New Roman" w:cs="Times New Roman"/>
          <w:sz w:val="24"/>
          <w:szCs w:val="24"/>
        </w:rPr>
        <w:t xml:space="preserve">łaźni, </w:t>
      </w:r>
      <w:r w:rsidRPr="0095349D">
        <w:rPr>
          <w:rFonts w:ascii="Times New Roman" w:hAnsi="Times New Roman" w:cs="Times New Roman"/>
          <w:sz w:val="24"/>
          <w:szCs w:val="24"/>
        </w:rPr>
        <w:t>czystości przestrzeni publicznej)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- ochrony areału rolnego i leśnego stanowiącego podstawę egzystencji mieszkańc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 miasta (np. ograniczenia nadmiernej wycinki drzewostanu)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 xml:space="preserve">- </w:t>
      </w:r>
      <w:r w:rsidRPr="0095349D">
        <w:rPr>
          <w:rFonts w:ascii="Times New Roman" w:hAnsi="Times New Roman" w:cs="Times New Roman"/>
          <w:sz w:val="24"/>
          <w:szCs w:val="24"/>
        </w:rPr>
        <w:t>bezpieczeństwa budowlanego i przeciwpożarowego (np. eliminacji łatwopalnych materiałów)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E45972" w:rsidRPr="0095349D" w:rsidRDefault="00E45972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- obronności (np. powinności militarne mieszkańców na rzecz miasta, ochrona murów)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- kwestii moralno-religijnych (np. zakazu handlu w niedzielę, karania cudzołóstwa)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- opieki nad sierotami, starymi i chorymi (np. szpitalnictwo, domy dziecka)</w:t>
      </w:r>
      <w:r w:rsidR="00BF20D2" w:rsidRPr="0095349D">
        <w:rPr>
          <w:rFonts w:ascii="Times New Roman" w:hAnsi="Times New Roman" w:cs="Times New Roman"/>
          <w:sz w:val="24"/>
          <w:szCs w:val="24"/>
        </w:rPr>
        <w:t>;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- szkolnictwa (np. fundowania budynk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 i stypendi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w)</w:t>
      </w:r>
      <w:r w:rsidR="00BF20D2" w:rsidRPr="0095349D">
        <w:rPr>
          <w:rFonts w:ascii="Times New Roman" w:hAnsi="Times New Roman" w:cs="Times New Roman"/>
          <w:sz w:val="24"/>
          <w:szCs w:val="24"/>
        </w:rPr>
        <w:t>.</w:t>
      </w:r>
    </w:p>
    <w:p w:rsidR="00E45972" w:rsidRPr="0095349D" w:rsidRDefault="00E45972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70B" w:rsidRPr="0095349D" w:rsidRDefault="00CD570B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49D">
        <w:rPr>
          <w:rFonts w:ascii="Times New Roman" w:hAnsi="Times New Roman" w:cs="Times New Roman"/>
          <w:b/>
          <w:bCs/>
          <w:sz w:val="24"/>
          <w:szCs w:val="24"/>
        </w:rPr>
        <w:t>Zgłoszenia temat</w:t>
      </w:r>
      <w:r w:rsidRPr="0095349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B7D9A" w:rsidRPr="0095349D">
        <w:rPr>
          <w:rFonts w:ascii="Times New Roman" w:hAnsi="Times New Roman" w:cs="Times New Roman"/>
          <w:b/>
          <w:bCs/>
          <w:sz w:val="24"/>
          <w:szCs w:val="24"/>
        </w:rPr>
        <w:t xml:space="preserve">wystąpień </w:t>
      </w:r>
      <w:r w:rsidRPr="0095349D">
        <w:rPr>
          <w:rFonts w:ascii="Times New Roman" w:hAnsi="Times New Roman" w:cs="Times New Roman"/>
          <w:b/>
          <w:bCs/>
          <w:sz w:val="24"/>
          <w:szCs w:val="24"/>
        </w:rPr>
        <w:t xml:space="preserve">wraz z abstraktami prosimy nadsyłać </w:t>
      </w:r>
      <w:r w:rsidRPr="0095349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do </w:t>
      </w:r>
      <w:r w:rsidRPr="009534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5972" w:rsidRPr="0095349D">
        <w:rPr>
          <w:rFonts w:ascii="Times New Roman" w:hAnsi="Times New Roman" w:cs="Times New Roman"/>
          <w:b/>
          <w:bCs/>
          <w:sz w:val="24"/>
          <w:szCs w:val="24"/>
        </w:rPr>
        <w:t>1 grudnia</w:t>
      </w:r>
      <w:r w:rsidRPr="0095349D">
        <w:rPr>
          <w:rFonts w:ascii="Times New Roman" w:hAnsi="Times New Roman" w:cs="Times New Roman"/>
          <w:b/>
          <w:bCs/>
          <w:sz w:val="24"/>
          <w:szCs w:val="24"/>
        </w:rPr>
        <w:t>2022 r. na adres mailowy:</w:t>
      </w:r>
    </w:p>
    <w:p w:rsidR="00CD570B" w:rsidRPr="0095349D" w:rsidRDefault="00A104E9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7FB1" w:rsidRPr="0095349D">
          <w:rPr>
            <w:rStyle w:val="Hipercze"/>
            <w:rFonts w:ascii="Times New Roman" w:hAnsi="Times New Roman" w:cs="Times New Roman"/>
            <w:sz w:val="24"/>
            <w:szCs w:val="24"/>
          </w:rPr>
          <w:t>konferencja.miasto@googlemail.com</w:t>
        </w:r>
      </w:hyperlink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Wystąpienia mogą mieć formę referatu</w:t>
      </w:r>
      <w:r w:rsidR="00E45972" w:rsidRPr="0095349D">
        <w:rPr>
          <w:rFonts w:ascii="Times New Roman" w:hAnsi="Times New Roman" w:cs="Times New Roman"/>
          <w:sz w:val="24"/>
          <w:szCs w:val="24"/>
        </w:rPr>
        <w:t xml:space="preserve"> (25</w:t>
      </w:r>
      <w:r w:rsidRPr="0095349D">
        <w:rPr>
          <w:rFonts w:ascii="Times New Roman" w:hAnsi="Times New Roman" w:cs="Times New Roman"/>
          <w:sz w:val="24"/>
          <w:szCs w:val="24"/>
        </w:rPr>
        <w:t>min</w:t>
      </w:r>
      <w:r w:rsidR="00231199" w:rsidRPr="0095349D">
        <w:rPr>
          <w:rFonts w:ascii="Times New Roman" w:hAnsi="Times New Roman" w:cs="Times New Roman"/>
          <w:sz w:val="24"/>
          <w:szCs w:val="24"/>
        </w:rPr>
        <w:t>.</w:t>
      </w:r>
      <w:r w:rsidRPr="0095349D">
        <w:rPr>
          <w:rFonts w:ascii="Times New Roman" w:hAnsi="Times New Roman" w:cs="Times New Roman"/>
          <w:sz w:val="24"/>
          <w:szCs w:val="24"/>
        </w:rPr>
        <w:t>) lub poster</w:t>
      </w:r>
      <w:r w:rsidRPr="0095349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95349D">
        <w:rPr>
          <w:rFonts w:ascii="Times New Roman" w:hAnsi="Times New Roman" w:cs="Times New Roman"/>
          <w:sz w:val="24"/>
          <w:szCs w:val="24"/>
        </w:rPr>
        <w:t>w (</w:t>
      </w:r>
      <w:r w:rsidR="00231199" w:rsidRPr="0095349D">
        <w:rPr>
          <w:rFonts w:ascii="Times New Roman" w:hAnsi="Times New Roman" w:cs="Times New Roman"/>
          <w:sz w:val="24"/>
          <w:szCs w:val="24"/>
        </w:rPr>
        <w:t xml:space="preserve">minimalny </w:t>
      </w:r>
      <w:r w:rsidRPr="0095349D">
        <w:rPr>
          <w:rFonts w:ascii="Times New Roman" w:hAnsi="Times New Roman" w:cs="Times New Roman"/>
          <w:sz w:val="24"/>
          <w:szCs w:val="24"/>
        </w:rPr>
        <w:t>format</w:t>
      </w:r>
      <w:r w:rsidR="00231199" w:rsidRPr="0095349D">
        <w:rPr>
          <w:rFonts w:ascii="Times New Roman" w:hAnsi="Times New Roman" w:cs="Times New Roman"/>
          <w:sz w:val="24"/>
          <w:szCs w:val="24"/>
        </w:rPr>
        <w:t>:</w:t>
      </w:r>
      <w:r w:rsidRPr="0095349D">
        <w:rPr>
          <w:rFonts w:ascii="Times New Roman" w:hAnsi="Times New Roman" w:cs="Times New Roman"/>
          <w:sz w:val="24"/>
          <w:szCs w:val="24"/>
        </w:rPr>
        <w:t xml:space="preserve"> A3).  </w:t>
      </w:r>
    </w:p>
    <w:p w:rsidR="00CD570B" w:rsidRPr="0095349D" w:rsidRDefault="00D4189E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Planowana jest publikacja pokonferencyjna w tomie tematycznym czasopisma „</w:t>
      </w:r>
      <w:r w:rsidRPr="0095349D">
        <w:rPr>
          <w:rFonts w:ascii="Times New Roman" w:hAnsi="Times New Roman" w:cs="Times New Roman"/>
          <w:sz w:val="24"/>
          <w:szCs w:val="24"/>
          <w:lang w:val="de-DE"/>
        </w:rPr>
        <w:t>Studia His</w:t>
      </w:r>
      <w:r w:rsidRPr="0095349D">
        <w:rPr>
          <w:rFonts w:ascii="Times New Roman" w:hAnsi="Times New Roman" w:cs="Times New Roman"/>
          <w:sz w:val="24"/>
          <w:szCs w:val="24"/>
          <w:lang w:val="de-DE"/>
        </w:rPr>
        <w:t>torica Gedanensia</w:t>
      </w:r>
      <w:r w:rsidRPr="0095349D">
        <w:rPr>
          <w:rFonts w:ascii="Times New Roman" w:hAnsi="Times New Roman" w:cs="Times New Roman"/>
          <w:sz w:val="24"/>
          <w:szCs w:val="24"/>
        </w:rPr>
        <w:t>” (70 pkt</w:t>
      </w:r>
      <w:r w:rsidR="00231199" w:rsidRPr="0095349D">
        <w:rPr>
          <w:rFonts w:ascii="Times New Roman" w:hAnsi="Times New Roman" w:cs="Times New Roman"/>
          <w:sz w:val="24"/>
          <w:szCs w:val="24"/>
        </w:rPr>
        <w:t>.</w:t>
      </w:r>
      <w:r w:rsidRPr="0095349D">
        <w:rPr>
          <w:rFonts w:ascii="Times New Roman" w:hAnsi="Times New Roman" w:cs="Times New Roman"/>
          <w:sz w:val="24"/>
          <w:szCs w:val="24"/>
        </w:rPr>
        <w:t>).</w:t>
      </w:r>
    </w:p>
    <w:p w:rsidR="00C74084" w:rsidRPr="0095349D" w:rsidRDefault="00C74084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99" w:rsidRPr="0095349D" w:rsidRDefault="00231199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A" w:rsidRPr="0095349D" w:rsidRDefault="00C74084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Organizatorzy</w:t>
      </w:r>
      <w:r w:rsidR="00FB35EA" w:rsidRPr="0095349D">
        <w:rPr>
          <w:rFonts w:ascii="Times New Roman" w:hAnsi="Times New Roman" w:cs="Times New Roman"/>
          <w:sz w:val="24"/>
          <w:szCs w:val="24"/>
        </w:rPr>
        <w:t xml:space="preserve"> Forum Młodych Badaczy</w:t>
      </w:r>
      <w:r w:rsidR="00E77FB1" w:rsidRPr="0095349D">
        <w:rPr>
          <w:rFonts w:ascii="Times New Roman" w:hAnsi="Times New Roman" w:cs="Times New Roman"/>
          <w:sz w:val="24"/>
          <w:szCs w:val="24"/>
        </w:rPr>
        <w:t xml:space="preserve"> Miast</w:t>
      </w:r>
      <w:r w:rsidR="00FB35EA" w:rsidRPr="0095349D">
        <w:rPr>
          <w:rFonts w:ascii="Times New Roman" w:hAnsi="Times New Roman" w:cs="Times New Roman"/>
          <w:sz w:val="24"/>
          <w:szCs w:val="24"/>
        </w:rPr>
        <w:t>:</w:t>
      </w:r>
    </w:p>
    <w:p w:rsidR="00C74084" w:rsidRPr="0095349D" w:rsidRDefault="00E77FB1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Dr Aleksandra Girsztowt (Instytut Historii UG)</w:t>
      </w:r>
    </w:p>
    <w:p w:rsidR="003A6C3C" w:rsidRPr="0095349D" w:rsidRDefault="003A6C3C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Dr Radosław Kubus (Instytut Historii UG)</w:t>
      </w:r>
    </w:p>
    <w:p w:rsidR="00E77FB1" w:rsidRPr="0095349D" w:rsidRDefault="00E77FB1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Dr Wacław Kulczykowski (Instytut Historii UG)</w:t>
      </w:r>
    </w:p>
    <w:p w:rsidR="003A6C3C" w:rsidRPr="0095349D" w:rsidRDefault="003A6C3C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9D">
        <w:rPr>
          <w:rFonts w:ascii="Times New Roman" w:hAnsi="Times New Roman" w:cs="Times New Roman"/>
          <w:sz w:val="24"/>
          <w:szCs w:val="24"/>
        </w:rPr>
        <w:t>Dr Julia Możdżeń (Instytut Historii UG)</w:t>
      </w:r>
    </w:p>
    <w:p w:rsidR="003A6C3C" w:rsidRPr="0095349D" w:rsidRDefault="003A6C3C" w:rsidP="0095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C3C" w:rsidRPr="0095349D" w:rsidSect="00A104E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9E" w:rsidRDefault="00D4189E">
      <w:pPr>
        <w:spacing w:after="0" w:line="240" w:lineRule="auto"/>
      </w:pPr>
      <w:r>
        <w:separator/>
      </w:r>
    </w:p>
  </w:endnote>
  <w:endnote w:type="continuationSeparator" w:id="1">
    <w:p w:rsidR="00D4189E" w:rsidRDefault="00D4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9E" w:rsidRDefault="00D4189E">
      <w:pPr>
        <w:spacing w:after="0" w:line="240" w:lineRule="auto"/>
      </w:pPr>
      <w:r>
        <w:separator/>
      </w:r>
    </w:p>
  </w:footnote>
  <w:footnote w:type="continuationSeparator" w:id="1">
    <w:p w:rsidR="00D4189E" w:rsidRDefault="00D41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70B"/>
    <w:rsid w:val="001841BA"/>
    <w:rsid w:val="001A194D"/>
    <w:rsid w:val="00231199"/>
    <w:rsid w:val="003A6C3C"/>
    <w:rsid w:val="003F032C"/>
    <w:rsid w:val="00842E4B"/>
    <w:rsid w:val="0095349D"/>
    <w:rsid w:val="00A104E9"/>
    <w:rsid w:val="00AB49C2"/>
    <w:rsid w:val="00AD4107"/>
    <w:rsid w:val="00BF20D2"/>
    <w:rsid w:val="00C74084"/>
    <w:rsid w:val="00C75BF2"/>
    <w:rsid w:val="00C77E9A"/>
    <w:rsid w:val="00CB7D9A"/>
    <w:rsid w:val="00CD570B"/>
    <w:rsid w:val="00CF393B"/>
    <w:rsid w:val="00D4189E"/>
    <w:rsid w:val="00E45972"/>
    <w:rsid w:val="00E77FB1"/>
    <w:rsid w:val="00E95F61"/>
    <w:rsid w:val="00F823B7"/>
    <w:rsid w:val="00FB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E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04E9"/>
    <w:rPr>
      <w:u w:val="single"/>
    </w:rPr>
  </w:style>
  <w:style w:type="table" w:customStyle="1" w:styleId="TableNormal">
    <w:name w:val="Table Normal"/>
    <w:rsid w:val="00A10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04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sid w:val="00A104E9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sid w:val="00A104E9"/>
    <w:rPr>
      <w:outline w:val="0"/>
      <w:color w:val="0563C1"/>
      <w:u w:val="single" w:color="0563C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4E9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E9"/>
    <w:rPr>
      <w:sz w:val="16"/>
      <w:szCs w:val="16"/>
    </w:rPr>
  </w:style>
  <w:style w:type="paragraph" w:styleId="Poprawka">
    <w:name w:val="Revision"/>
    <w:hidden/>
    <w:uiPriority w:val="99"/>
    <w:semiHidden/>
    <w:rsid w:val="00E45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F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0D2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a.miasto@googl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Możdżeń</dc:creator>
  <cp:lastModifiedBy>USOWINA</cp:lastModifiedBy>
  <cp:revision>2</cp:revision>
  <dcterms:created xsi:type="dcterms:W3CDTF">2022-10-28T11:37:00Z</dcterms:created>
  <dcterms:modified xsi:type="dcterms:W3CDTF">2022-10-28T11:37:00Z</dcterms:modified>
</cp:coreProperties>
</file>